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3A1" w:rsidRPr="000D7DB4" w:rsidRDefault="004D6E03" w:rsidP="000F2EA3">
      <w:pPr>
        <w:widowControl/>
        <w:rPr>
          <w:rFonts w:ascii="ＭＳ 明朝" w:eastAsia="ＭＳ 明朝" w:hAnsi="ＭＳ 明朝" w:cs="ＭＳ Ｐゴシック"/>
          <w:b/>
          <w:bCs/>
          <w:kern w:val="0"/>
          <w:sz w:val="22"/>
        </w:rPr>
      </w:pPr>
      <w:bookmarkStart w:id="0" w:name="_GoBack"/>
      <w:bookmarkEnd w:id="0"/>
      <w:r w:rsidRPr="000D7DB4">
        <w:rPr>
          <w:rFonts w:ascii="ＭＳ 明朝" w:eastAsia="ＭＳ 明朝" w:hAnsi="ＭＳ 明朝" w:cs="ＭＳ Ｐゴシック" w:hint="eastAsia"/>
          <w:b/>
          <w:bCs/>
          <w:kern w:val="0"/>
          <w:sz w:val="22"/>
        </w:rPr>
        <w:t>公募又は売出実施通知書</w:t>
      </w:r>
      <w:r w:rsidR="000F2EA3" w:rsidRPr="000D7DB4">
        <w:rPr>
          <w:rFonts w:ascii="ＭＳ 明朝" w:eastAsia="ＭＳ 明朝" w:hAnsi="ＭＳ 明朝" w:cs="ＭＳ Ｐゴシック" w:hint="eastAsia"/>
          <w:b/>
          <w:bCs/>
          <w:kern w:val="0"/>
          <w:sz w:val="22"/>
        </w:rPr>
        <w:t>〔記載上の注意〕</w:t>
      </w:r>
    </w:p>
    <w:p w:rsidR="00E643F3" w:rsidRPr="00E643F3" w:rsidRDefault="00F423A1" w:rsidP="00E643F3">
      <w:r>
        <w:rPr>
          <w:rFonts w:hint="eastAsia"/>
        </w:rPr>
        <w:t>(</w:t>
      </w:r>
      <w:r w:rsidR="00E643F3" w:rsidRPr="00E643F3">
        <w:rPr>
          <w:rFonts w:hint="eastAsia"/>
        </w:rPr>
        <w:t>全般）</w:t>
      </w:r>
    </w:p>
    <w:p w:rsidR="00E643F3" w:rsidRPr="00E643F3" w:rsidRDefault="00E643F3" w:rsidP="00E643F3">
      <w:r w:rsidRPr="00E643F3">
        <w:rPr>
          <w:rFonts w:hint="eastAsia"/>
        </w:rPr>
        <w:t>・相互会社から株式会社への組織変更を行う場合において、組織変更後最初の基準日等における株主等の状況を把握するまでの間は、本表中「基準日等」とあるのは「組織変更に伴う相互会社の社員に対する株式の割当て日」と読み替え、組織変更に伴う相互会社の社員に対する株式の割当てに係る株主等の状況に基づいて記載してください。</w:t>
      </w:r>
    </w:p>
    <w:p w:rsidR="00F423A1" w:rsidRDefault="00E643F3" w:rsidP="00FF17D6">
      <w:r w:rsidRPr="00E643F3">
        <w:rPr>
          <w:rFonts w:hint="eastAsia"/>
        </w:rPr>
        <w:t>・オーバーアロットメントによる売出しを行った場合には、当該売出し及びそれに関連するグリーンシューオプションの権利行使を含めて記載することができます。その場合には、「</w:t>
      </w:r>
      <w:r w:rsidRPr="00E643F3">
        <w:rPr>
          <w:rFonts w:hint="eastAsia"/>
        </w:rPr>
        <w:t xml:space="preserve">1.(1) </w:t>
      </w:r>
      <w:r w:rsidRPr="00E643F3">
        <w:rPr>
          <w:rFonts w:hint="eastAsia"/>
        </w:rPr>
        <w:t>公募・売出しの別」欄にオーバーアロットメントによる売出株数を内訳として記載してください。また、当該売出し及びそれに関連する事項（シンジケートカバー取引、グリーンシューオプション）の実施内容を末尾に具体的に注記してください。</w:t>
      </w:r>
    </w:p>
    <w:p w:rsidR="000D5434" w:rsidRDefault="000D5434" w:rsidP="00FF17D6"/>
    <w:p w:rsidR="00FF17D6" w:rsidRPr="00FF17D6" w:rsidRDefault="00F423A1" w:rsidP="00FF17D6">
      <w:r>
        <w:rPr>
          <w:rFonts w:hint="eastAsia"/>
        </w:rPr>
        <w:t>(</w:t>
      </w:r>
      <w:r w:rsidR="00FF17D6" w:rsidRPr="00FF17D6">
        <w:rPr>
          <w:rFonts w:hint="eastAsia"/>
        </w:rPr>
        <w:t>1.</w:t>
      </w:r>
      <w:r w:rsidR="00FF17D6" w:rsidRPr="00FF17D6">
        <w:rPr>
          <w:rFonts w:hint="eastAsia"/>
        </w:rPr>
        <w:t xml:space="preserve">公募（売出し）の要領　</w:t>
      </w:r>
      <w:r w:rsidR="00FF17D6" w:rsidRPr="00FF17D6">
        <w:rPr>
          <w:rFonts w:hint="eastAsia"/>
        </w:rPr>
        <w:t>(1)</w:t>
      </w:r>
      <w:r w:rsidR="00FF17D6" w:rsidRPr="00FF17D6">
        <w:rPr>
          <w:rFonts w:hint="eastAsia"/>
        </w:rPr>
        <w:t>公募（売出し）の別）</w:t>
      </w:r>
    </w:p>
    <w:p w:rsidR="00FF17D6" w:rsidRPr="00FF17D6" w:rsidRDefault="00FF17D6" w:rsidP="00FF17D6">
      <w:r w:rsidRPr="00FF17D6">
        <w:rPr>
          <w:rFonts w:hint="eastAsia"/>
        </w:rPr>
        <w:t>・「一般販売団への同業者委託株式数」とは、</w:t>
      </w:r>
      <w:r w:rsidR="000F2EA3">
        <w:rPr>
          <w:rFonts w:hint="eastAsia"/>
        </w:rPr>
        <w:t>「上場前の公募又は売り出等に関する規則」</w:t>
      </w:r>
      <w:r w:rsidRPr="00FF17D6">
        <w:rPr>
          <w:rFonts w:hint="eastAsia"/>
        </w:rPr>
        <w:t>第</w:t>
      </w:r>
      <w:r w:rsidR="000D5434">
        <w:rPr>
          <w:rFonts w:hint="eastAsia"/>
        </w:rPr>
        <w:t>3</w:t>
      </w:r>
      <w:r w:rsidRPr="00FF17D6">
        <w:rPr>
          <w:rFonts w:hint="eastAsia"/>
        </w:rPr>
        <w:t>条</w:t>
      </w:r>
      <w:r w:rsidR="000D5434">
        <w:rPr>
          <w:rFonts w:hint="eastAsia"/>
        </w:rPr>
        <w:t>の</w:t>
      </w:r>
      <w:r w:rsidR="000D5434">
        <w:rPr>
          <w:rFonts w:hint="eastAsia"/>
        </w:rPr>
        <w:t>5</w:t>
      </w:r>
      <w:r w:rsidRPr="00FF17D6">
        <w:rPr>
          <w:rFonts w:hint="eastAsia"/>
        </w:rPr>
        <w:t>に基づき、募集又は売出しの取扱いに関する事務を</w:t>
      </w:r>
      <w:r w:rsidR="000D7DB4">
        <w:rPr>
          <w:rFonts w:hint="eastAsia"/>
        </w:rPr>
        <w:t>本</w:t>
      </w:r>
      <w:r w:rsidRPr="00FF17D6">
        <w:rPr>
          <w:rFonts w:hint="eastAsia"/>
        </w:rPr>
        <w:t>所に委託した委託販売に係る株式数をいいます。</w:t>
      </w:r>
    </w:p>
    <w:p w:rsidR="00F423A1" w:rsidRDefault="00F423A1" w:rsidP="00FF17D6"/>
    <w:p w:rsidR="00FF17D6" w:rsidRPr="00FF17D6" w:rsidRDefault="00FF17D6" w:rsidP="00FF17D6">
      <w:r w:rsidRPr="00FF17D6">
        <w:rPr>
          <w:rFonts w:hint="eastAsia"/>
        </w:rPr>
        <w:t>（</w:t>
      </w:r>
      <w:r w:rsidRPr="00FF17D6">
        <w:rPr>
          <w:rFonts w:hint="eastAsia"/>
        </w:rPr>
        <w:t>3.</w:t>
      </w:r>
      <w:r w:rsidRPr="00FF17D6">
        <w:rPr>
          <w:rFonts w:hint="eastAsia"/>
        </w:rPr>
        <w:t>公募（売出し）の実施状況　［元引受</w:t>
      </w:r>
      <w:r w:rsidR="000D7DB4">
        <w:rPr>
          <w:rFonts w:hint="eastAsia"/>
        </w:rPr>
        <w:t>会員</w:t>
      </w:r>
      <w:r w:rsidRPr="00FF17D6">
        <w:rPr>
          <w:rFonts w:hint="eastAsia"/>
        </w:rPr>
        <w:t>別の実施状況］）</w:t>
      </w:r>
    </w:p>
    <w:p w:rsidR="00FF17D6" w:rsidRPr="00FF17D6" w:rsidRDefault="000D5434" w:rsidP="00FF17D6">
      <w:r>
        <w:rPr>
          <w:rFonts w:hint="eastAsia"/>
        </w:rPr>
        <w:t>・元引受会員ごとに記載してください。なお、非会員</w:t>
      </w:r>
      <w:r w:rsidR="00FF17D6" w:rsidRPr="00FF17D6">
        <w:rPr>
          <w:rFonts w:hint="eastAsia"/>
        </w:rPr>
        <w:t>又は外国証券業者の口数等については、当該公募（売出し）の実施状況に関する報告等を内容とする契約を申請会社と締結した非</w:t>
      </w:r>
      <w:r w:rsidR="000D7DB4">
        <w:rPr>
          <w:rFonts w:hint="eastAsia"/>
        </w:rPr>
        <w:t>会員</w:t>
      </w:r>
      <w:r w:rsidR="00FF17D6" w:rsidRPr="00FF17D6">
        <w:rPr>
          <w:rFonts w:hint="eastAsia"/>
        </w:rPr>
        <w:t>又は外国証券業者分のみを記載してください。</w:t>
      </w:r>
    </w:p>
    <w:p w:rsidR="00FF17D6" w:rsidRPr="00FF17D6" w:rsidRDefault="00FF17D6" w:rsidP="00FF17D6">
      <w:r w:rsidRPr="00FF17D6">
        <w:rPr>
          <w:rFonts w:hint="eastAsia"/>
        </w:rPr>
        <w:t>・「口数」は、名義のいかんを問わず、その計算が実質的に帰属するものを対象として記載してください。</w:t>
      </w:r>
    </w:p>
    <w:p w:rsidR="00FF17D6" w:rsidRPr="00FF17D6" w:rsidRDefault="000D5434" w:rsidP="00FF17D6">
      <w:r>
        <w:rPr>
          <w:rFonts w:hint="eastAsia"/>
        </w:rPr>
        <w:t>・非会員</w:t>
      </w:r>
      <w:r w:rsidR="00FF17D6" w:rsidRPr="00FF17D6">
        <w:rPr>
          <w:rFonts w:hint="eastAsia"/>
        </w:rPr>
        <w:t>又は外国証券業者の口数等について、当該公募（売出し）の実施状況に関</w:t>
      </w:r>
      <w:r>
        <w:rPr>
          <w:rFonts w:hint="eastAsia"/>
        </w:rPr>
        <w:t>する報告等を内容とする契約を申請会社と締結していない非会員又は外国証券業者分については、会員名の記載欄に「非会員</w:t>
      </w:r>
      <w:r w:rsidR="00FF17D6" w:rsidRPr="00FF17D6">
        <w:rPr>
          <w:rFonts w:hint="eastAsia"/>
        </w:rPr>
        <w:t>分」等（海外公募（売出し）の場合は「海外販売分」等）の名称で記載し、口数は</w:t>
      </w:r>
      <w:r w:rsidR="00FF17D6" w:rsidRPr="00FF17D6">
        <w:rPr>
          <w:rFonts w:hint="eastAsia"/>
        </w:rPr>
        <w:t>1</w:t>
      </w:r>
      <w:r>
        <w:rPr>
          <w:rFonts w:hint="eastAsia"/>
        </w:rPr>
        <w:t>口、株数は当該非会員</w:t>
      </w:r>
      <w:r w:rsidR="00FF17D6" w:rsidRPr="00FF17D6">
        <w:rPr>
          <w:rFonts w:hint="eastAsia"/>
        </w:rPr>
        <w:t>又は外国証券業者引き受</w:t>
      </w:r>
      <w:r>
        <w:rPr>
          <w:rFonts w:hint="eastAsia"/>
        </w:rPr>
        <w:t>け（又は取り扱い）株数の合計を記載してください（当該非会員</w:t>
      </w:r>
      <w:r w:rsidR="00FF17D6" w:rsidRPr="00FF17D6">
        <w:rPr>
          <w:rFonts w:hint="eastAsia"/>
        </w:rPr>
        <w:t>又は外国証券業者が複数の場合も合計して１口となります）。</w:t>
      </w:r>
    </w:p>
    <w:p w:rsidR="00FF17D6" w:rsidRPr="00FF17D6" w:rsidRDefault="00FF17D6" w:rsidP="00FF17D6">
      <w:r w:rsidRPr="00FF17D6">
        <w:rPr>
          <w:rFonts w:hint="eastAsia"/>
        </w:rPr>
        <w:t>・「一般販売団」とは、</w:t>
      </w:r>
      <w:r w:rsidR="000D5434">
        <w:rPr>
          <w:rFonts w:hint="eastAsia"/>
        </w:rPr>
        <w:t>「上場前の公募又は売り出等に関する規則」</w:t>
      </w:r>
      <w:r w:rsidR="000D5434" w:rsidRPr="00FF17D6">
        <w:rPr>
          <w:rFonts w:hint="eastAsia"/>
        </w:rPr>
        <w:t>第</w:t>
      </w:r>
      <w:r w:rsidR="000D5434">
        <w:rPr>
          <w:rFonts w:hint="eastAsia"/>
        </w:rPr>
        <w:t>3</w:t>
      </w:r>
      <w:r w:rsidR="000D5434" w:rsidRPr="00FF17D6">
        <w:rPr>
          <w:rFonts w:hint="eastAsia"/>
        </w:rPr>
        <w:t>条</w:t>
      </w:r>
      <w:r w:rsidR="000D5434">
        <w:rPr>
          <w:rFonts w:hint="eastAsia"/>
        </w:rPr>
        <w:t>の</w:t>
      </w:r>
      <w:r w:rsidR="000D5434">
        <w:rPr>
          <w:rFonts w:hint="eastAsia"/>
        </w:rPr>
        <w:t>5</w:t>
      </w:r>
      <w:r w:rsidRPr="00FF17D6">
        <w:rPr>
          <w:rFonts w:hint="eastAsia"/>
        </w:rPr>
        <w:t>に基づき、募集又は売出しの取扱いに関する事務を</w:t>
      </w:r>
      <w:r w:rsidR="000D7DB4">
        <w:rPr>
          <w:rFonts w:hint="eastAsia"/>
        </w:rPr>
        <w:t>本</w:t>
      </w:r>
      <w:r w:rsidRPr="00FF17D6">
        <w:rPr>
          <w:rFonts w:hint="eastAsia"/>
        </w:rPr>
        <w:t>所に委託した委託販売に係る販売団をいいます。</w:t>
      </w:r>
    </w:p>
    <w:p w:rsidR="00FF17D6" w:rsidRPr="00FF17D6" w:rsidRDefault="00FF17D6" w:rsidP="00FF17D6">
      <w:r w:rsidRPr="00FF17D6">
        <w:rPr>
          <w:rFonts w:hint="eastAsia"/>
        </w:rPr>
        <w:t>・「一般販売団以外への同業者委託」は、原則として委託金融商品取引業者別に当該会社名とその割当株数を記載してください。</w:t>
      </w:r>
    </w:p>
    <w:p w:rsidR="007C70CD" w:rsidRDefault="00FF17D6" w:rsidP="00FF17D6">
      <w:r w:rsidRPr="00FF17D6">
        <w:rPr>
          <w:rFonts w:hint="eastAsia"/>
        </w:rPr>
        <w:t>・親引けによる割当を行った場合は、「親引けによる○○への割当」と別記してください。</w:t>
      </w:r>
    </w:p>
    <w:p w:rsidR="0014391D" w:rsidRPr="0014391D" w:rsidRDefault="0014391D" w:rsidP="0014391D">
      <w:r w:rsidRPr="0014391D">
        <w:rPr>
          <w:rFonts w:hint="eastAsia"/>
        </w:rPr>
        <w:t>（</w:t>
      </w:r>
      <w:r w:rsidRPr="0014391D">
        <w:rPr>
          <w:rFonts w:hint="eastAsia"/>
        </w:rPr>
        <w:t>4.</w:t>
      </w:r>
      <w:r w:rsidR="000D5434">
        <w:rPr>
          <w:rFonts w:hint="eastAsia"/>
        </w:rPr>
        <w:t>公募（売出し）後の株券</w:t>
      </w:r>
      <w:r w:rsidRPr="0014391D">
        <w:rPr>
          <w:rFonts w:hint="eastAsia"/>
        </w:rPr>
        <w:t xml:space="preserve">の分布状況　</w:t>
      </w:r>
      <w:r w:rsidRPr="0014391D">
        <w:rPr>
          <w:rFonts w:hint="eastAsia"/>
        </w:rPr>
        <w:t>(1)</w:t>
      </w:r>
      <w:r w:rsidRPr="0014391D">
        <w:rPr>
          <w:rFonts w:hint="eastAsia"/>
        </w:rPr>
        <w:t>株主数</w:t>
      </w:r>
      <w:r w:rsidRPr="0014391D">
        <w:rPr>
          <w:rFonts w:hint="eastAsia"/>
        </w:rPr>
        <w:t>)</w:t>
      </w:r>
    </w:p>
    <w:p w:rsidR="0014391D" w:rsidRPr="0014391D" w:rsidRDefault="0014391D" w:rsidP="0014391D">
      <w:r w:rsidRPr="0014391D">
        <w:rPr>
          <w:rFonts w:hint="eastAsia"/>
        </w:rPr>
        <w:t>・「株主数」については、</w:t>
      </w:r>
      <w:r w:rsidRPr="0014391D">
        <w:rPr>
          <w:rFonts w:hint="eastAsia"/>
        </w:rPr>
        <w:t>1</w:t>
      </w:r>
      <w:r w:rsidRPr="0014391D">
        <w:rPr>
          <w:rFonts w:hint="eastAsia"/>
        </w:rPr>
        <w:t>単位以上の株式を所有する株主の数を記載してください。</w:t>
      </w:r>
    </w:p>
    <w:p w:rsidR="0014391D" w:rsidRPr="0014391D" w:rsidRDefault="0014391D" w:rsidP="0014391D">
      <w:r w:rsidRPr="0014391D">
        <w:rPr>
          <w:rFonts w:hint="eastAsia"/>
        </w:rPr>
        <w:lastRenderedPageBreak/>
        <w:t>・実質上の所有者数について記載し、他人（仮設人を含む）名義は株主数には含めません。（なお、㈱証券保管振替機構名義の株式のうち名義書換失念株式がある場合については、㈱証券保管振替機構を１名として記載してください。）</w:t>
      </w:r>
    </w:p>
    <w:p w:rsidR="0014391D" w:rsidRPr="0014391D" w:rsidRDefault="0014391D" w:rsidP="0014391D">
      <w:r w:rsidRPr="0014391D">
        <w:rPr>
          <w:rFonts w:hint="eastAsia"/>
        </w:rPr>
        <w:t>・ＡＤＲ等預託証券の受託機関の名義の株式を所有する者で１単位以上の株式を所有する者を株主数合計に含める場合は、内数として</w:t>
      </w:r>
      <w:r w:rsidRPr="0014391D">
        <w:rPr>
          <w:rFonts w:hint="eastAsia"/>
        </w:rPr>
        <w:t>[</w:t>
      </w:r>
      <w:r w:rsidRPr="0014391D">
        <w:rPr>
          <w:rFonts w:hint="eastAsia"/>
        </w:rPr>
        <w:t xml:space="preserve">　　</w:t>
      </w:r>
      <w:r w:rsidRPr="0014391D">
        <w:rPr>
          <w:rFonts w:hint="eastAsia"/>
        </w:rPr>
        <w:t>]</w:t>
      </w:r>
      <w:r w:rsidRPr="0014391D">
        <w:rPr>
          <w:rFonts w:hint="eastAsia"/>
        </w:rPr>
        <w:t>に記載し、その旨の証明書を添付してください。</w:t>
      </w:r>
    </w:p>
    <w:p w:rsidR="0014391D" w:rsidRPr="0014391D" w:rsidRDefault="0014391D" w:rsidP="0014391D">
      <w:r w:rsidRPr="0014391D">
        <w:rPr>
          <w:rFonts w:hint="eastAsia"/>
        </w:rPr>
        <w:t>・上場会社の人的分割により事業を承継する申請会社で、複数の会社による共同新設分割、吸収分割の場合の株主数の見込みは、各分割当事会社の株主に対する割当比率に応じて算出される株主数の見込みの合計を記載してください（名寄せの必要はありません）。</w:t>
      </w:r>
    </w:p>
    <w:p w:rsidR="0014391D" w:rsidRPr="0014391D" w:rsidRDefault="0014391D" w:rsidP="0014391D">
      <w:r w:rsidRPr="0014391D">
        <w:rPr>
          <w:rFonts w:hint="eastAsia"/>
        </w:rPr>
        <w:t>・</w:t>
      </w:r>
      <w:r w:rsidRPr="0014391D">
        <w:rPr>
          <w:rFonts w:hint="eastAsia"/>
        </w:rPr>
        <w:t>d</w:t>
      </w:r>
      <w:r w:rsidRPr="0014391D">
        <w:rPr>
          <w:rFonts w:hint="eastAsia"/>
        </w:rPr>
        <w:t>の欄には、増加・減少を相殺した結果を記載するのではなく、増加数と減少数を分けて記載し、減少については△印を付してください。</w:t>
      </w:r>
    </w:p>
    <w:p w:rsidR="007C70CD" w:rsidRDefault="007C70CD" w:rsidP="00FF17D6"/>
    <w:p w:rsidR="00FF17D6" w:rsidRPr="00FF17D6" w:rsidRDefault="00FF17D6" w:rsidP="00FF17D6">
      <w:r w:rsidRPr="00FF17D6">
        <w:rPr>
          <w:rFonts w:hint="eastAsia"/>
        </w:rPr>
        <w:t>（</w:t>
      </w:r>
      <w:r w:rsidRPr="00FF17D6">
        <w:rPr>
          <w:rFonts w:hint="eastAsia"/>
        </w:rPr>
        <w:t>4.</w:t>
      </w:r>
      <w:r w:rsidRPr="00FF17D6">
        <w:rPr>
          <w:rFonts w:hint="eastAsia"/>
        </w:rPr>
        <w:t xml:space="preserve">公募（売出し）後の株券の分布状況　</w:t>
      </w:r>
      <w:r w:rsidRPr="00FF17D6">
        <w:rPr>
          <w:rFonts w:hint="eastAsia"/>
        </w:rPr>
        <w:t>(2)</w:t>
      </w:r>
      <w:r w:rsidRPr="00FF17D6">
        <w:rPr>
          <w:rFonts w:hint="eastAsia"/>
        </w:rPr>
        <w:t>流通株式の数及び流通株式比率</w:t>
      </w:r>
      <w:r w:rsidRPr="00FF17D6">
        <w:rPr>
          <w:rFonts w:hint="eastAsia"/>
        </w:rPr>
        <w:t>)</w:t>
      </w:r>
    </w:p>
    <w:p w:rsidR="00FF17D6" w:rsidRPr="00FF17D6" w:rsidRDefault="00FF17D6" w:rsidP="00FF17D6">
      <w:r w:rsidRPr="00FF17D6">
        <w:rPr>
          <w:rFonts w:hint="eastAsia"/>
        </w:rPr>
        <w:t>・仮設人又は他人名義を含み、すべて実質上の所有者について記載してください。</w:t>
      </w:r>
    </w:p>
    <w:p w:rsidR="00FF17D6" w:rsidRPr="00FF17D6" w:rsidRDefault="00FF17D6" w:rsidP="00FF17D6">
      <w:r w:rsidRPr="00FF17D6">
        <w:rPr>
          <w:rFonts w:hint="eastAsia"/>
        </w:rPr>
        <w:t>・「直前の基準日等時点」の欄には、直前の基準日等における持株状況を記載してください。</w:t>
      </w:r>
    </w:p>
    <w:p w:rsidR="00FF17D6" w:rsidRPr="00FF17D6" w:rsidRDefault="00FF17D6" w:rsidP="00FF17D6">
      <w:r w:rsidRPr="00FF17D6">
        <w:rPr>
          <w:rFonts w:hint="eastAsia"/>
        </w:rPr>
        <w:t>・「公募・売出し実施後」の欄には、公募・売出し実施に伴う持株数の変化を記載してください</w:t>
      </w:r>
      <w:r w:rsidRPr="00FF17D6">
        <w:rPr>
          <w:rFonts w:hint="eastAsia"/>
        </w:rPr>
        <w:t>(</w:t>
      </w:r>
      <w:r w:rsidRPr="00FF17D6">
        <w:rPr>
          <w:rFonts w:hint="eastAsia"/>
        </w:rPr>
        <w:t>変化が無い場合、記載を省略して構いません）。また、上場希望日までの役員等関係者の持株状況の変化（ストックオプションの行使による持株数増加を含みます）についても記載してください。</w:t>
      </w:r>
    </w:p>
    <w:p w:rsidR="00FF17D6" w:rsidRPr="00FF17D6" w:rsidRDefault="00FF17D6" w:rsidP="00FF17D6">
      <w:r w:rsidRPr="00FF17D6">
        <w:rPr>
          <w:rFonts w:hint="eastAsia"/>
        </w:rPr>
        <w:t>・上場会社の人的分割により事業を承継する申請会社で、複数の会社による共同新設分割、吸収分割の場合の大株主の見込みの記載は、割り当てられる見込みの大株主の名寄せを行い記載してください。</w:t>
      </w:r>
    </w:p>
    <w:p w:rsidR="00FF17D6" w:rsidRPr="00FF17D6" w:rsidRDefault="00FF17D6" w:rsidP="00FF17D6">
      <w:r w:rsidRPr="00FF17D6">
        <w:rPr>
          <w:rFonts w:hint="eastAsia"/>
        </w:rPr>
        <w:t>・表中、※印が付されている項目については、内訳（株主名、株券の数及び保有比率）を、記載の形式に基づき記載してください。なお、必要事項を記載した社内資料の写しを別添資料として添付する場合は、記載を省略できます。</w:t>
      </w:r>
    </w:p>
    <w:p w:rsidR="00FF17D6" w:rsidRPr="00FF17D6" w:rsidRDefault="00FF17D6" w:rsidP="00FF17D6">
      <w:r w:rsidRPr="00FF17D6">
        <w:rPr>
          <w:rFonts w:hint="eastAsia"/>
        </w:rPr>
        <w:t>・</w:t>
      </w:r>
      <w:r w:rsidRPr="00FF17D6">
        <w:rPr>
          <w:rFonts w:hint="eastAsia"/>
        </w:rPr>
        <w:t>N</w:t>
      </w:r>
      <w:r w:rsidRPr="00FF17D6">
        <w:rPr>
          <w:rFonts w:hint="eastAsia"/>
        </w:rPr>
        <w:t>の欄に該当する株主及び株券の数が存在する場合は、内訳を記載の上、当該株式であることを証明する書面等（例えば、信託銀行等の証券投資信託・年金信託の組み入れ状況が確認できる資料等）を添付してください。</w:t>
      </w:r>
    </w:p>
    <w:p w:rsidR="009B58E9" w:rsidRPr="00FF17D6" w:rsidRDefault="009B58E9"/>
    <w:sectPr w:rsidR="009B58E9" w:rsidRPr="00FF17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4A28" w:rsidRDefault="00234A28" w:rsidP="0076408C">
      <w:r>
        <w:separator/>
      </w:r>
    </w:p>
  </w:endnote>
  <w:endnote w:type="continuationSeparator" w:id="0">
    <w:p w:rsidR="00234A28" w:rsidRDefault="00234A28" w:rsidP="00764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4A28" w:rsidRDefault="00234A28" w:rsidP="0076408C">
      <w:r>
        <w:separator/>
      </w:r>
    </w:p>
  </w:footnote>
  <w:footnote w:type="continuationSeparator" w:id="0">
    <w:p w:rsidR="00234A28" w:rsidRDefault="00234A28" w:rsidP="007640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3F3"/>
    <w:rsid w:val="000D5434"/>
    <w:rsid w:val="000D7DB4"/>
    <w:rsid w:val="000F2EA3"/>
    <w:rsid w:val="0014391D"/>
    <w:rsid w:val="00234A28"/>
    <w:rsid w:val="00310C17"/>
    <w:rsid w:val="00376E20"/>
    <w:rsid w:val="0038426A"/>
    <w:rsid w:val="00391328"/>
    <w:rsid w:val="004638AE"/>
    <w:rsid w:val="004D5421"/>
    <w:rsid w:val="004D6E03"/>
    <w:rsid w:val="00527DCF"/>
    <w:rsid w:val="00570B9A"/>
    <w:rsid w:val="00623508"/>
    <w:rsid w:val="006510B6"/>
    <w:rsid w:val="006A643A"/>
    <w:rsid w:val="0076408C"/>
    <w:rsid w:val="007C56DD"/>
    <w:rsid w:val="007C70CD"/>
    <w:rsid w:val="00957137"/>
    <w:rsid w:val="009B58E9"/>
    <w:rsid w:val="00A21256"/>
    <w:rsid w:val="00A22905"/>
    <w:rsid w:val="00A85759"/>
    <w:rsid w:val="00AE15B3"/>
    <w:rsid w:val="00B23338"/>
    <w:rsid w:val="00B51332"/>
    <w:rsid w:val="00BF58A2"/>
    <w:rsid w:val="00E643F3"/>
    <w:rsid w:val="00EA7FC5"/>
    <w:rsid w:val="00EF7CB9"/>
    <w:rsid w:val="00F423A1"/>
    <w:rsid w:val="00FE09A3"/>
    <w:rsid w:val="00FF1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FD46CD1D-A053-4AB6-B8B9-5408BDAD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408C"/>
    <w:pPr>
      <w:tabs>
        <w:tab w:val="center" w:pos="4252"/>
        <w:tab w:val="right" w:pos="8504"/>
      </w:tabs>
      <w:snapToGrid w:val="0"/>
    </w:pPr>
  </w:style>
  <w:style w:type="character" w:customStyle="1" w:styleId="a4">
    <w:name w:val="ヘッダー (文字)"/>
    <w:basedOn w:val="a0"/>
    <w:link w:val="a3"/>
    <w:uiPriority w:val="99"/>
    <w:rsid w:val="0076408C"/>
  </w:style>
  <w:style w:type="paragraph" w:styleId="a5">
    <w:name w:val="footer"/>
    <w:basedOn w:val="a"/>
    <w:link w:val="a6"/>
    <w:uiPriority w:val="99"/>
    <w:unhideWhenUsed/>
    <w:rsid w:val="0076408C"/>
    <w:pPr>
      <w:tabs>
        <w:tab w:val="center" w:pos="4252"/>
        <w:tab w:val="right" w:pos="8504"/>
      </w:tabs>
      <w:snapToGrid w:val="0"/>
    </w:pPr>
  </w:style>
  <w:style w:type="character" w:customStyle="1" w:styleId="a6">
    <w:name w:val="フッター (文字)"/>
    <w:basedOn w:val="a0"/>
    <w:link w:val="a5"/>
    <w:uiPriority w:val="99"/>
    <w:rsid w:val="0076408C"/>
  </w:style>
  <w:style w:type="paragraph" w:styleId="a7">
    <w:name w:val="Balloon Text"/>
    <w:basedOn w:val="a"/>
    <w:link w:val="a8"/>
    <w:uiPriority w:val="99"/>
    <w:semiHidden/>
    <w:unhideWhenUsed/>
    <w:rsid w:val="00376E2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6E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497707">
      <w:bodyDiv w:val="1"/>
      <w:marLeft w:val="0"/>
      <w:marRight w:val="0"/>
      <w:marTop w:val="0"/>
      <w:marBottom w:val="0"/>
      <w:divBdr>
        <w:top w:val="none" w:sz="0" w:space="0" w:color="auto"/>
        <w:left w:val="none" w:sz="0" w:space="0" w:color="auto"/>
        <w:bottom w:val="none" w:sz="0" w:space="0" w:color="auto"/>
        <w:right w:val="none" w:sz="0" w:space="0" w:color="auto"/>
      </w:divBdr>
    </w:div>
    <w:div w:id="806436609">
      <w:bodyDiv w:val="1"/>
      <w:marLeft w:val="0"/>
      <w:marRight w:val="0"/>
      <w:marTop w:val="0"/>
      <w:marBottom w:val="0"/>
      <w:divBdr>
        <w:top w:val="none" w:sz="0" w:space="0" w:color="auto"/>
        <w:left w:val="none" w:sz="0" w:space="0" w:color="auto"/>
        <w:bottom w:val="none" w:sz="0" w:space="0" w:color="auto"/>
        <w:right w:val="none" w:sz="0" w:space="0" w:color="auto"/>
      </w:divBdr>
    </w:div>
    <w:div w:id="810368103">
      <w:bodyDiv w:val="1"/>
      <w:marLeft w:val="0"/>
      <w:marRight w:val="0"/>
      <w:marTop w:val="0"/>
      <w:marBottom w:val="0"/>
      <w:divBdr>
        <w:top w:val="none" w:sz="0" w:space="0" w:color="auto"/>
        <w:left w:val="none" w:sz="0" w:space="0" w:color="auto"/>
        <w:bottom w:val="none" w:sz="0" w:space="0" w:color="auto"/>
        <w:right w:val="none" w:sz="0" w:space="0" w:color="auto"/>
      </w:divBdr>
    </w:div>
    <w:div w:id="1006787754">
      <w:bodyDiv w:val="1"/>
      <w:marLeft w:val="0"/>
      <w:marRight w:val="0"/>
      <w:marTop w:val="0"/>
      <w:marBottom w:val="0"/>
      <w:divBdr>
        <w:top w:val="none" w:sz="0" w:space="0" w:color="auto"/>
        <w:left w:val="none" w:sz="0" w:space="0" w:color="auto"/>
        <w:bottom w:val="none" w:sz="0" w:space="0" w:color="auto"/>
        <w:right w:val="none" w:sz="0" w:space="0" w:color="auto"/>
      </w:divBdr>
    </w:div>
    <w:div w:id="1103459302">
      <w:bodyDiv w:val="1"/>
      <w:marLeft w:val="0"/>
      <w:marRight w:val="0"/>
      <w:marTop w:val="0"/>
      <w:marBottom w:val="0"/>
      <w:divBdr>
        <w:top w:val="none" w:sz="0" w:space="0" w:color="auto"/>
        <w:left w:val="none" w:sz="0" w:space="0" w:color="auto"/>
        <w:bottom w:val="none" w:sz="0" w:space="0" w:color="auto"/>
        <w:right w:val="none" w:sz="0" w:space="0" w:color="auto"/>
      </w:divBdr>
    </w:div>
    <w:div w:id="1253011456">
      <w:bodyDiv w:val="1"/>
      <w:marLeft w:val="0"/>
      <w:marRight w:val="0"/>
      <w:marTop w:val="0"/>
      <w:marBottom w:val="0"/>
      <w:divBdr>
        <w:top w:val="none" w:sz="0" w:space="0" w:color="auto"/>
        <w:left w:val="none" w:sz="0" w:space="0" w:color="auto"/>
        <w:bottom w:val="none" w:sz="0" w:space="0" w:color="auto"/>
        <w:right w:val="none" w:sz="0" w:space="0" w:color="auto"/>
      </w:divBdr>
    </w:div>
    <w:div w:id="1287272376">
      <w:bodyDiv w:val="1"/>
      <w:marLeft w:val="0"/>
      <w:marRight w:val="0"/>
      <w:marTop w:val="0"/>
      <w:marBottom w:val="0"/>
      <w:divBdr>
        <w:top w:val="none" w:sz="0" w:space="0" w:color="auto"/>
        <w:left w:val="none" w:sz="0" w:space="0" w:color="auto"/>
        <w:bottom w:val="none" w:sz="0" w:space="0" w:color="auto"/>
        <w:right w:val="none" w:sz="0" w:space="0" w:color="auto"/>
      </w:divBdr>
    </w:div>
    <w:div w:id="1306087898">
      <w:bodyDiv w:val="1"/>
      <w:marLeft w:val="0"/>
      <w:marRight w:val="0"/>
      <w:marTop w:val="0"/>
      <w:marBottom w:val="0"/>
      <w:divBdr>
        <w:top w:val="none" w:sz="0" w:space="0" w:color="auto"/>
        <w:left w:val="none" w:sz="0" w:space="0" w:color="auto"/>
        <w:bottom w:val="none" w:sz="0" w:space="0" w:color="auto"/>
        <w:right w:val="none" w:sz="0" w:space="0" w:color="auto"/>
      </w:divBdr>
    </w:div>
    <w:div w:id="1326743356">
      <w:bodyDiv w:val="1"/>
      <w:marLeft w:val="0"/>
      <w:marRight w:val="0"/>
      <w:marTop w:val="0"/>
      <w:marBottom w:val="0"/>
      <w:divBdr>
        <w:top w:val="none" w:sz="0" w:space="0" w:color="auto"/>
        <w:left w:val="none" w:sz="0" w:space="0" w:color="auto"/>
        <w:bottom w:val="none" w:sz="0" w:space="0" w:color="auto"/>
        <w:right w:val="none" w:sz="0" w:space="0" w:color="auto"/>
      </w:divBdr>
    </w:div>
    <w:div w:id="1374883480">
      <w:bodyDiv w:val="1"/>
      <w:marLeft w:val="0"/>
      <w:marRight w:val="0"/>
      <w:marTop w:val="0"/>
      <w:marBottom w:val="0"/>
      <w:divBdr>
        <w:top w:val="none" w:sz="0" w:space="0" w:color="auto"/>
        <w:left w:val="none" w:sz="0" w:space="0" w:color="auto"/>
        <w:bottom w:val="none" w:sz="0" w:space="0" w:color="auto"/>
        <w:right w:val="none" w:sz="0" w:space="0" w:color="auto"/>
      </w:divBdr>
    </w:div>
    <w:div w:id="1548376461">
      <w:bodyDiv w:val="1"/>
      <w:marLeft w:val="0"/>
      <w:marRight w:val="0"/>
      <w:marTop w:val="0"/>
      <w:marBottom w:val="0"/>
      <w:divBdr>
        <w:top w:val="none" w:sz="0" w:space="0" w:color="auto"/>
        <w:left w:val="none" w:sz="0" w:space="0" w:color="auto"/>
        <w:bottom w:val="none" w:sz="0" w:space="0" w:color="auto"/>
        <w:right w:val="none" w:sz="0" w:space="0" w:color="auto"/>
      </w:divBdr>
    </w:div>
    <w:div w:id="1816795504">
      <w:bodyDiv w:val="1"/>
      <w:marLeft w:val="0"/>
      <w:marRight w:val="0"/>
      <w:marTop w:val="0"/>
      <w:marBottom w:val="0"/>
      <w:divBdr>
        <w:top w:val="none" w:sz="0" w:space="0" w:color="auto"/>
        <w:left w:val="none" w:sz="0" w:space="0" w:color="auto"/>
        <w:bottom w:val="none" w:sz="0" w:space="0" w:color="auto"/>
        <w:right w:val="none" w:sz="0" w:space="0" w:color="auto"/>
      </w:divBdr>
    </w:div>
    <w:div w:id="199514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1772</Characters>
  <Application>Microsoft Office Word</Application>
  <DocSecurity>4</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札幌証券取引所</cp:lastModifiedBy>
  <cp:revision>2</cp:revision>
  <cp:lastPrinted>2015-02-17T03:55:00Z</cp:lastPrinted>
  <dcterms:created xsi:type="dcterms:W3CDTF">2019-10-03T01:37:00Z</dcterms:created>
  <dcterms:modified xsi:type="dcterms:W3CDTF">2019-10-03T01:37:00Z</dcterms:modified>
</cp:coreProperties>
</file>